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DA" w:rsidRDefault="006761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Проблемные вопросы. </w:t>
      </w:r>
    </w:p>
    <w:p w:rsidR="007073DA" w:rsidRDefault="00676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08.08.2024 </w:t>
      </w:r>
      <w:r w:rsidR="000459C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311-ФЗ «О внесении изменении в Федеральный закон «О теплоснабжении» и отдельные законодательные акты Российской Федерации» были внесены изменения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27.07.2010 </w:t>
      </w:r>
      <w:r w:rsidR="000459C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190-ФЗ «О теплоснабжении» (далее – Закон о теплоснабжении), вступившие в силу с 01.03.2025, и предусматривающие порядок оценки обеспечения готовности к отопительному периоду органов местного самоуправления, субъектов теплоэнергетики и потр</w:t>
      </w:r>
      <w:r>
        <w:rPr>
          <w:rFonts w:ascii="Times New Roman" w:eastAsia="Times New Roman" w:hAnsi="Times New Roman" w:cs="Times New Roman"/>
          <w:sz w:val="28"/>
          <w:szCs w:val="28"/>
        </w:rPr>
        <w:t>ебителей тепловой энергии в соответствии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правилами обеспечения готовности к отопительному периоду, утвержденными федеральным органом исполнительной власти, уполномоченным на реализацию государственной политики в сфере теплоснабжения. В соответствии с час</w:t>
      </w:r>
      <w:r>
        <w:rPr>
          <w:rFonts w:ascii="Times New Roman" w:eastAsia="Times New Roman" w:hAnsi="Times New Roman" w:cs="Times New Roman"/>
          <w:sz w:val="28"/>
          <w:szCs w:val="28"/>
        </w:rPr>
        <w:t>тью 2 статьи 20 Закона о теплоснабжении правила обеспечения готовности к отопительному периоду включают в себя подтверждение лицами, обязанными обеспечить готовность к отопительному периоду, требований безопасности в сфере теплоснабжения, несоблюдение кото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рых влияет на безаварийную работу объектов теплоснабжения. Правила обеспечения готовности к отопительному периоду и Порядок проведения оценки обеспечения готовности к отопительному периоду утверждены приказом Минэнерго России от 13.11.2024 </w:t>
      </w:r>
      <w:r w:rsidR="000459C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2234 (далее с</w:t>
      </w:r>
      <w:r>
        <w:rPr>
          <w:rFonts w:ascii="Times New Roman" w:eastAsia="Times New Roman" w:hAnsi="Times New Roman" w:cs="Times New Roman"/>
          <w:sz w:val="28"/>
          <w:szCs w:val="28"/>
        </w:rPr>
        <w:t>оответственно – Правила и Порядок) и вступили в силу с 01.03.2025.</w:t>
      </w:r>
    </w:p>
    <w:p w:rsidR="007073DA" w:rsidRDefault="00707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3DA" w:rsidRDefault="006761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 стороны Минэнерго России даны разъяснения касающегося применения положений Правил и Порядка.</w:t>
      </w:r>
    </w:p>
    <w:p w:rsidR="007073DA" w:rsidRDefault="00707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73DA" w:rsidRDefault="0067611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Расчет индекса готовности к отопительному периоду муниципального образования. </w:t>
      </w:r>
    </w:p>
    <w:p w:rsidR="007073DA" w:rsidRDefault="007073D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73DA" w:rsidRDefault="006761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Коэффициент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оценки обеспечения готовности к отопительному периоду согласно пункту 2.1 Приложения </w:t>
      </w:r>
      <w:r w:rsidR="000459C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к Порядку является отношением количества организаций, прошедших оценку готовности и получивших акт оценки обеспечения готовности к отопительному периоду к общему кол</w:t>
      </w:r>
      <w:r>
        <w:rPr>
          <w:rFonts w:ascii="Times New Roman" w:eastAsia="Times New Roman" w:hAnsi="Times New Roman" w:cs="Times New Roman"/>
          <w:sz w:val="28"/>
          <w:szCs w:val="28"/>
        </w:rPr>
        <w:t>ичеству организаций, умноженным на коэффициент l</w:t>
      </w:r>
      <w:r w:rsidR="00045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порядка, принимаемый равным 0 при несоблюдении Порядка. В соответствии с изложенным коэффициент l</w:t>
      </w:r>
      <w:r w:rsidR="00045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порядка зависит от соблюдения муниципальным образованием и комиссией по проведению оценки обеспечения готовност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к отопительному периоду, образованной муниципальным образованием (далее – комиссия), всех положений Порядка.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Указанный коэффициент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приравнен нулю, например, в случае, если комиссия будет создана позже срока, установленного пунктом 4 Порядка, и</w:t>
      </w:r>
      <w:r>
        <w:rPr>
          <w:rFonts w:ascii="Times New Roman" w:eastAsia="Times New Roman" w:hAnsi="Times New Roman" w:cs="Times New Roman"/>
          <w:sz w:val="28"/>
          <w:szCs w:val="28"/>
        </w:rPr>
        <w:t>ли превышен срок проведения оценки обеспечения готовности, установленный пунктом 9 Порядка, и т. д. Согласно пункту 10 Порядка акт оценки обеспечения готовности составляется для каждой организации вне зависимости от индекса готовности, рассчитанного в оцен</w:t>
      </w:r>
      <w:r>
        <w:rPr>
          <w:rFonts w:ascii="Times New Roman" w:eastAsia="Times New Roman" w:hAnsi="Times New Roman" w:cs="Times New Roman"/>
          <w:sz w:val="28"/>
          <w:szCs w:val="28"/>
        </w:rPr>
        <w:t>очном листе, что при расчете коэффициента оценки обеспечения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готовности учитывается только отношение проверенных теплоснабжающих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теплосетевых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организаций, владельцев тепловых сетей, не являющихся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теплосетевыми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организациями, к общему количеству организац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вне зависимости от их уровня готовности.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 этом в расчете не учитывается отношение получивших потребителей акт оценки тепловой энергии и управляющих организаций, обеспечения готовности, к общему количеству потребителей и управляющих организаций, 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 проведение оценки указанных лиц является требованием Порядка, нарушение которого отразится на коэффициенте порядка. Согласно рекомендуемому образцу акта оценки обеспечения готовности отопительному периоду, приведенному в Приложении </w:t>
      </w:r>
      <w:r w:rsidR="000459C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к Порядку, акт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одержит уровень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готовности объектов оценки обеспечения готовности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уровень готовности лица, подлежащего оценке обеспечения готовности, а также перечень объектов оценки обеспечения готовности. При этом акт оценки готовности муниципального образования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содержать перечень объектов оценки и их уровень готовности при условии наличия бесхозяйных объектов теплоснабжения, уровень готовности которых влияет на оценку обеспечения готовности муниципального образования </w:t>
      </w:r>
    </w:p>
    <w:p w:rsidR="007073DA" w:rsidRDefault="00707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3DA" w:rsidRDefault="0067611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объектов теплоснабжения, подлеж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ащих проверке комиссией муниципального образования при подготовке к отопительному сезону.</w:t>
      </w:r>
    </w:p>
    <w:p w:rsidR="007073DA" w:rsidRDefault="00707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3DA" w:rsidRDefault="00676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8 Порядка в рамках проведения оценки обеспечения готовности комиссия осуществляет оценку готовности на предмет выполнения требований, устано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вленных Правилами, и в отношении каждого объекта оценки обеспечения готовности устанавливает их уровень готовности к отопительному периоду на основании значения индекса готовности. </w:t>
      </w:r>
    </w:p>
    <w:p w:rsidR="007073DA" w:rsidRDefault="00676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соответствии с изложенным под объектом оценки обеспечения готовности сле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дует понимать источники теплоснабжения, тепловые сети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теплопотребляющие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установки. </w:t>
      </w:r>
      <w:proofErr w:type="gramEnd"/>
    </w:p>
    <w:p w:rsidR="007073DA" w:rsidRDefault="0067611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Оформление решения комиссии о проведении осмотра объектов оценки.</w:t>
      </w:r>
    </w:p>
    <w:p w:rsidR="007073DA" w:rsidRDefault="007073D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73DA" w:rsidRDefault="00676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пункту 18 Порядка в целях проведения оценки обеспечения готовности комиссия рассматривает 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ументы, подтверждающие выполнение требований по обеспечению готовности. По решению комиссии проводится осмотр объектов оценки обеспечения готовности.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результатам осмотра объекта оценки комиссия вправе принять решение о внесении изменений в оценочный лис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с установлением новых замечаний с указанием сроков их устранения и нового индекса готовности оцениваемого объекта, при этом осмотр осуществляется в рамках требований, установленных Правилами,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 внесение замечаний, выходящих за пределы Правил и оценочных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листов Порядком не предусмотрено. </w:t>
      </w:r>
      <w:proofErr w:type="gramEnd"/>
    </w:p>
    <w:p w:rsidR="007073DA" w:rsidRDefault="00707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3DA" w:rsidRDefault="0067611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Информирование 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неустранении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выявленных замечаний. </w:t>
      </w:r>
    </w:p>
    <w:p w:rsidR="007073DA" w:rsidRDefault="007073D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73DA" w:rsidRDefault="00676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17 Порядка в случае неустранения замечаний, указанных в акте, в установленный срок лицами, указанными в пунктах 1.1, 1.2 и 1.6 Порядка, комиссия в теч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надзора. В соответствии с пунктом 6 Порядка 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проведения оценки обесп</w:t>
      </w:r>
      <w:r>
        <w:rPr>
          <w:rFonts w:ascii="Times New Roman" w:eastAsia="Times New Roman" w:hAnsi="Times New Roman" w:cs="Times New Roman"/>
          <w:sz w:val="28"/>
          <w:szCs w:val="28"/>
        </w:rPr>
        <w:t>ечения готовности муниципальных образований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по согласованию включаются представители органа исполнительной власти субъекта Российской Федерации, осуществляющего полномочия в сфере теплоснабжения. При этом согласно пункту 17 Порядка при оц</w:t>
      </w:r>
      <w:r>
        <w:rPr>
          <w:rFonts w:ascii="Times New Roman" w:eastAsia="Times New Roman" w:hAnsi="Times New Roman" w:cs="Times New Roman"/>
          <w:sz w:val="28"/>
          <w:szCs w:val="28"/>
        </w:rPr>
        <w:t>енке обеспечения готовности муниципального образования комиссия, образованная органами Ростехнадзора, в случае неустранения замечаний, указанных в акте, передает данные в органы Ростехнадзора. Положениями пункта 17 Порядка подразумевается необходимость сос</w:t>
      </w:r>
      <w:r>
        <w:rPr>
          <w:rFonts w:ascii="Times New Roman" w:eastAsia="Times New Roman" w:hAnsi="Times New Roman" w:cs="Times New Roman"/>
          <w:sz w:val="28"/>
          <w:szCs w:val="28"/>
        </w:rPr>
        <w:t>тавления нового акта в случае неустранения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замечаний, указанных в акте, и направление нового акта по принадлежности в течение 5 рабочих дней при этом срок устранения замечаний может составлять более 5 рабочих дней. </w:t>
      </w:r>
    </w:p>
    <w:p w:rsidR="007073DA" w:rsidRDefault="00707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3DA" w:rsidRDefault="0067611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Устранение замечаний после получения па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спорта готовности. </w:t>
      </w:r>
    </w:p>
    <w:p w:rsidR="007073DA" w:rsidRDefault="00707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3DA" w:rsidRDefault="00676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11 Порядка к акту прилагается заполненный оценочный лист на каждый объект оценки обеспечения готовности. При наличии у комиссии замечаний к соблюдению проверяемым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требований по обеспечению готовности, установленны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Правилами, в оценочном листе указывается срок устранения выявленных замечаний. При этом требования Правил и Порядка не содержат положений о том,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что получение паспорта освобождает от устранения замечаний.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Также частью 13 статьи 20 Закона о теплоснабжении установлено, что в случае несоблюдения обязательных требований, предусмотренных частью 2 статьи 20 Закона о теплоснабжении, лицам, указанным в части 1 статьи, направляется акт, содержащий оценку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готовности к отопительному периоду, с замечаниями по выявленным нарушениям.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Выявленные нарушения подлежат обязательному устранению в установленные актом сроки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Согласно части 14 статьи 20 Закона о теплоснабжении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неустранение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выявленных нарушений,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 в акте, содержащем оценку обеспечения готовности к отопительному периоду, в установленные сроки лицами, указанными в части 1 статьи 20 Закона о теплоснабжении, 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лечет за собой административную ответственность в соответствии с законодательством Российской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соответствии с изложенным получение паспорта обеспечения готовности не освобождает от обязанности устранить все замечания,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срок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установленный в акте оценки обеспечения готовности.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Также положениями пункта 12 Порядка установлено, что при уст</w:t>
      </w:r>
      <w:r>
        <w:rPr>
          <w:rFonts w:ascii="Times New Roman" w:eastAsia="Times New Roman" w:hAnsi="Times New Roman" w:cs="Times New Roman"/>
          <w:sz w:val="28"/>
          <w:szCs w:val="28"/>
        </w:rPr>
        <w:t>ранении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 календарных дней со дня получения комиссией такого уведомления, прово</w:t>
      </w:r>
      <w:r>
        <w:rPr>
          <w:rFonts w:ascii="Times New Roman" w:eastAsia="Times New Roman" w:hAnsi="Times New Roman" w:cs="Times New Roman"/>
          <w:sz w:val="28"/>
          <w:szCs w:val="28"/>
        </w:rPr>
        <w:t>дится повторная оценка обеспечения готовности на предмет устранения ранее выданных замечаний, по результатам которой составляется новый акт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прилагается новый оценочный лист.</w:t>
      </w:r>
    </w:p>
    <w:p w:rsidR="007073DA" w:rsidRDefault="00707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3DA" w:rsidRDefault="0067611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схемам теплоснабжения. </w:t>
      </w:r>
    </w:p>
    <w:p w:rsidR="007073DA" w:rsidRDefault="00707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3DA" w:rsidRDefault="00676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22.02.2012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154 утверждены Требования к схемам теплоснабжения и Требования к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разработкии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утверждения схем теплоснабжения, определяющие объем информации,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подлежащий ежегодной актуализации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, и пор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ядок проведения (в том числе сроки) такой актуализации (разработки новой схемы теплоснабжения). Таким образом, если схема теплоснабжения муниципального образования (с учетом особенностей ценовых зон теплоснабжения) утверждена в 2024 году, а в 2025 году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была актуализирована, то при проверке готовности муниципального образования к отопительному периоду такая схема теплоснабжения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будет считаться не актуализированной и значение коэффициента будет равно 0.</w:t>
      </w:r>
    </w:p>
    <w:p w:rsidR="007073DA" w:rsidRDefault="007073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73DA" w:rsidRDefault="0067611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Итоги проведенной оценки уровня подготовленности к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топительному сезону 2025-2026 годов.</w:t>
      </w:r>
    </w:p>
    <w:p w:rsidR="007073DA" w:rsidRDefault="007073DA">
      <w:pPr>
        <w:spacing w:after="0"/>
        <w:jc w:val="both"/>
      </w:pPr>
    </w:p>
    <w:p w:rsidR="007073DA" w:rsidRDefault="00676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Новые правила оценки готовности к отопительному периоду исключают показатели, касающиеся устойчивости тепловых сетей и исполнения мер по улучшению их состояния. В связи с чем, требуется внесение изменений в Правила, ут</w:t>
      </w:r>
      <w:r>
        <w:rPr>
          <w:rFonts w:ascii="Times New Roman" w:eastAsia="Times New Roman" w:hAnsi="Times New Roman" w:cs="Times New Roman"/>
          <w:sz w:val="28"/>
          <w:szCs w:val="28"/>
        </w:rPr>
        <w:t>очняющих значимость отдельных факторов при определении степени подготовки и вводящих дополнительные требования относительно надежности систем теплоснабжения и осуществления действий по увеличению их эффективности.</w:t>
      </w:r>
    </w:p>
    <w:p w:rsidR="007073DA" w:rsidRDefault="007073DA">
      <w:pPr>
        <w:spacing w:after="0"/>
        <w:jc w:val="both"/>
      </w:pPr>
    </w:p>
    <w:p w:rsidR="007073DA" w:rsidRDefault="00676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Обнаруженные нарушения в ходе работы коми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ссиями по оценке обеспечения готовности, образованных муниципальными образованиями в отношении теплоснабжающих организаций, предприятий теплоэнергетики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собственников тепловых коммуникаций, не относящихся к сетевым организациям взяты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контроль Ростехнад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зором. Поэтому получение паспорта готовности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это подтверждение способности выполнять обязательные требования законодательства в области надёжного и безопасного теплоснабжения в период ОЗП.</w:t>
      </w:r>
    </w:p>
    <w:p w:rsidR="007073DA" w:rsidRDefault="007073DA">
      <w:pPr>
        <w:spacing w:after="0"/>
        <w:jc w:val="both"/>
      </w:pPr>
    </w:p>
    <w:p w:rsidR="007073DA" w:rsidRDefault="00676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ыдача паспортов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теплоснабжающим организациям, та</w:t>
      </w:r>
      <w:r>
        <w:rPr>
          <w:rFonts w:ascii="Times New Roman" w:eastAsia="Times New Roman" w:hAnsi="Times New Roman" w:cs="Times New Roman"/>
          <w:sz w:val="28"/>
          <w:szCs w:val="28"/>
        </w:rPr>
        <w:t>к и муниципалитетам без фактического выполнения соответствующих процедур либо с формальным подходом к ним не обеспечит стабильное функционирование системы отопления зимой.</w:t>
      </w:r>
    </w:p>
    <w:sectPr w:rsidR="007073DA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16" w:rsidRDefault="00676116">
      <w:pPr>
        <w:spacing w:after="0" w:line="240" w:lineRule="auto"/>
      </w:pPr>
      <w:r>
        <w:separator/>
      </w:r>
    </w:p>
  </w:endnote>
  <w:endnote w:type="continuationSeparator" w:id="0">
    <w:p w:rsidR="00676116" w:rsidRDefault="0067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16" w:rsidRDefault="00676116">
      <w:pPr>
        <w:spacing w:after="0" w:line="240" w:lineRule="auto"/>
      </w:pPr>
      <w:r>
        <w:separator/>
      </w:r>
    </w:p>
  </w:footnote>
  <w:footnote w:type="continuationSeparator" w:id="0">
    <w:p w:rsidR="00676116" w:rsidRDefault="00676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DA"/>
    <w:rsid w:val="000459C3"/>
    <w:rsid w:val="00676116"/>
    <w:rsid w:val="0070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1535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Яценко Евгений Олегович</dc:creator>
  <cp:lastModifiedBy>Ермоченкова Ольга Юрьевна</cp:lastModifiedBy>
  <cp:revision>5</cp:revision>
  <dcterms:created xsi:type="dcterms:W3CDTF">2025-11-10T11:59:00Z</dcterms:created>
  <dcterms:modified xsi:type="dcterms:W3CDTF">2025-11-12T11:28:00Z</dcterms:modified>
</cp:coreProperties>
</file>